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9174A" w14:textId="49E75B5B" w:rsidR="000C24F0" w:rsidRPr="008720CD" w:rsidRDefault="00A30C74" w:rsidP="000C24F0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93</w:t>
      </w:r>
      <w:r w:rsidR="000C24F0">
        <w:tab/>
        <w:t xml:space="preserve">           </w:t>
      </w:r>
      <w:r w:rsidR="009532FA">
        <w:t>R1</w:t>
      </w:r>
      <w:r w:rsidR="000C24F0" w:rsidRPr="009532FA">
        <w:t>-18</w:t>
      </w:r>
      <w:r w:rsidR="00117ADA" w:rsidRPr="009532FA">
        <w:t>06419</w:t>
      </w:r>
    </w:p>
    <w:p w14:paraId="7C8F52E9" w14:textId="2B8D0206" w:rsidR="000C24F0" w:rsidRPr="00CE0424" w:rsidRDefault="008A5BEB" w:rsidP="000C24F0">
      <w:pPr>
        <w:pStyle w:val="3GPPHeader"/>
        <w:spacing w:after="60"/>
      </w:pPr>
      <w:r>
        <w:t>Busan</w:t>
      </w:r>
      <w:r w:rsidR="000C24F0">
        <w:t xml:space="preserve">, </w:t>
      </w:r>
      <w:r>
        <w:t>Korea</w:t>
      </w:r>
      <w:r w:rsidR="000C24F0">
        <w:t xml:space="preserve">, </w:t>
      </w:r>
      <w:r>
        <w:t>May</w:t>
      </w:r>
      <w:r w:rsidR="000C24F0">
        <w:t xml:space="preserve"> </w:t>
      </w:r>
      <w:r>
        <w:t>21</w:t>
      </w:r>
      <w:r w:rsidRPr="008A5BEB">
        <w:rPr>
          <w:vertAlign w:val="superscript"/>
        </w:rPr>
        <w:t>st</w:t>
      </w:r>
      <w:r w:rsidR="000C24F0">
        <w:t xml:space="preserve"> – 2</w:t>
      </w:r>
      <w:r>
        <w:t>5</w:t>
      </w:r>
      <w:r w:rsidR="000C24F0" w:rsidRPr="008A5BEB">
        <w:rPr>
          <w:vertAlign w:val="superscript"/>
        </w:rPr>
        <w:t>th</w:t>
      </w:r>
      <w:r w:rsidR="000C24F0">
        <w:t>, 2018</w:t>
      </w:r>
    </w:p>
    <w:p w14:paraId="216CBD77" w14:textId="77777777" w:rsidR="00E90E49" w:rsidRPr="00CE0424" w:rsidRDefault="00E90E49" w:rsidP="00311702">
      <w:pPr>
        <w:pStyle w:val="3GPPHeader"/>
      </w:pPr>
    </w:p>
    <w:p w14:paraId="63AD4BC8" w14:textId="7777777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C24F0">
        <w:rPr>
          <w:sz w:val="22"/>
          <w:szCs w:val="22"/>
        </w:rPr>
        <w:t>7.1.1.1</w:t>
      </w:r>
    </w:p>
    <w:p w14:paraId="0A41116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D4626EF" w14:textId="5C690C7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C24F0" w:rsidRPr="000C24F0">
        <w:rPr>
          <w:sz w:val="22"/>
          <w:szCs w:val="22"/>
        </w:rPr>
        <w:t xml:space="preserve">Remaining details on </w:t>
      </w:r>
      <w:r w:rsidR="00DD6D6A">
        <w:rPr>
          <w:sz w:val="22"/>
          <w:szCs w:val="22"/>
        </w:rPr>
        <w:t>s</w:t>
      </w:r>
      <w:r w:rsidR="000C24F0" w:rsidRPr="000C24F0">
        <w:rPr>
          <w:sz w:val="22"/>
          <w:szCs w:val="22"/>
        </w:rPr>
        <w:t>ynchronization signal</w:t>
      </w:r>
    </w:p>
    <w:p w14:paraId="0750A2B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C24F0">
        <w:rPr>
          <w:sz w:val="22"/>
          <w:szCs w:val="22"/>
        </w:rPr>
        <w:t>Discussion, Decision</w:t>
      </w:r>
    </w:p>
    <w:p w14:paraId="3B7E7AE1" w14:textId="77777777" w:rsidR="00E90E49" w:rsidRPr="00CE0424" w:rsidRDefault="00E90E49" w:rsidP="00E90E49"/>
    <w:p w14:paraId="7E3CD902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F5E28AB" w14:textId="52D6F61F" w:rsidR="00477768" w:rsidRPr="00CE0424" w:rsidRDefault="000C24F0" w:rsidP="000C24F0">
      <w:r w:rsidRPr="000C24F0">
        <w:t xml:space="preserve">Some remaining issues related to the synchronization signal in NR are discussed in this contribution. We address the </w:t>
      </w:r>
      <w:r w:rsidR="00C007FC">
        <w:t>power offset between SSS and PDCCH</w:t>
      </w:r>
      <w:r w:rsidRPr="000C24F0">
        <w:t>.</w:t>
      </w:r>
    </w:p>
    <w:p w14:paraId="3C67051F" w14:textId="51B478A8" w:rsidR="00E31163" w:rsidRDefault="00E31163" w:rsidP="00CE0424">
      <w:pPr>
        <w:pStyle w:val="Heading1"/>
      </w:pPr>
      <w:r>
        <w:t>Discussion</w:t>
      </w:r>
    </w:p>
    <w:p w14:paraId="4D39993D" w14:textId="32EDE512" w:rsidR="002E6BB6" w:rsidRDefault="002E6BB6" w:rsidP="002E6BB6">
      <w:pPr>
        <w:pStyle w:val="Heading2"/>
      </w:pPr>
      <w:r>
        <w:t>Power offset range between SSS and PDCCH</w:t>
      </w:r>
    </w:p>
    <w:p w14:paraId="78B3E28F" w14:textId="3CB30AE5" w:rsidR="00B205A7" w:rsidRPr="00A243BC" w:rsidRDefault="00B205A7" w:rsidP="00B205A7">
      <w:r w:rsidRPr="00A243BC">
        <w:t>In RAN1 #92bis meeting, we have below agreements regarding EPRE offset between SSS and PDCCH</w:t>
      </w:r>
      <w:r w:rsidR="00120641" w:rsidRPr="00A243BC">
        <w:t xml:space="preserve"> DMRS</w:t>
      </w:r>
    </w:p>
    <w:p w14:paraId="54380E55" w14:textId="1547A5E4" w:rsidR="00B205A7" w:rsidRPr="006C1DD4" w:rsidRDefault="00B205A7" w:rsidP="00B205A7">
      <w:r w:rsidRPr="006C1DD4">
        <w:rPr>
          <w:highlight w:val="green"/>
        </w:rPr>
        <w:t>Agreements</w:t>
      </w:r>
      <w:r w:rsidRPr="006C1DD4">
        <w:t>:</w:t>
      </w:r>
    </w:p>
    <w:p w14:paraId="058AB543" w14:textId="77777777" w:rsidR="00B205A7" w:rsidRPr="006C1DD4" w:rsidRDefault="00B205A7" w:rsidP="00B205A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szCs w:val="20"/>
        </w:rPr>
      </w:pPr>
      <w:r w:rsidRPr="006C1DD4">
        <w:rPr>
          <w:szCs w:val="20"/>
        </w:rPr>
        <w:t>In initial cell selection and idle mode, the UE may assume that the EPRE offset between PDCCH DMRS and SSS in the QCL’ed SSB is in the range [X, Y]dB when PDDCH with CRC scrambled by SI-RNTI, P-RNTI and RA-RNTI</w:t>
      </w:r>
    </w:p>
    <w:p w14:paraId="355891C6" w14:textId="77777777" w:rsidR="00B205A7" w:rsidRPr="006C1DD4" w:rsidRDefault="00B205A7" w:rsidP="00B205A7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szCs w:val="20"/>
        </w:rPr>
      </w:pPr>
      <w:r w:rsidRPr="006C1DD4">
        <w:rPr>
          <w:szCs w:val="20"/>
        </w:rPr>
        <w:t>FFS: value of X and Y and dependence on numerology</w:t>
      </w:r>
    </w:p>
    <w:p w14:paraId="21DD28E1" w14:textId="77777777" w:rsidR="00B205A7" w:rsidRPr="006C1DD4" w:rsidRDefault="00B205A7" w:rsidP="00B205A7">
      <w:pPr>
        <w:pStyle w:val="ListParagraph"/>
        <w:numPr>
          <w:ilvl w:val="2"/>
          <w:numId w:val="16"/>
        </w:numPr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szCs w:val="20"/>
        </w:rPr>
      </w:pPr>
      <w:r w:rsidRPr="006C1DD4">
        <w:rPr>
          <w:szCs w:val="20"/>
        </w:rPr>
        <w:t>|X| &amp; Y are no more than 12</w:t>
      </w:r>
    </w:p>
    <w:p w14:paraId="1B1EE5A9" w14:textId="77777777" w:rsidR="00B205A7" w:rsidRDefault="00B205A7" w:rsidP="002E6BB6">
      <w:pPr>
        <w:pStyle w:val="BodyText"/>
        <w:rPr>
          <w:highlight w:val="yellow"/>
        </w:rPr>
      </w:pPr>
    </w:p>
    <w:p w14:paraId="23290CB5" w14:textId="7B37C65B" w:rsidR="007C585B" w:rsidRDefault="007C585B" w:rsidP="002E6BB6">
      <w:pPr>
        <w:pStyle w:val="BodyText"/>
      </w:pPr>
      <w:r w:rsidRPr="002E6BB6">
        <w:t>SSS power is cell specifically configured in SIB1</w:t>
      </w:r>
      <w:r>
        <w:t xml:space="preserve"> as below</w:t>
      </w:r>
      <w:r w:rsidR="00335051">
        <w:t xml:space="preserve"> based on 38.331 V15.1.0 [</w:t>
      </w:r>
      <w:r w:rsidR="00DB57ED">
        <w:t>1</w:t>
      </w:r>
      <w:r w:rsidR="00335051">
        <w:t>]</w:t>
      </w:r>
      <w:r>
        <w:t>:</w:t>
      </w:r>
    </w:p>
    <w:p w14:paraId="1A06E89A" w14:textId="77777777" w:rsidR="007C585B" w:rsidRDefault="007C585B" w:rsidP="007C585B">
      <w:pPr>
        <w:pStyle w:val="PL"/>
        <w:rPr>
          <w:color w:val="808080"/>
        </w:rPr>
      </w:pPr>
      <w:r>
        <w:t xml:space="preserve">    </w:t>
      </w:r>
      <w:r>
        <w:rPr>
          <w:color w:val="808080"/>
        </w:rPr>
        <w:t xml:space="preserve">-- TX power that the NW used for SSB transmission. The UE uses it to estimate the RA preamble TX power. </w:t>
      </w:r>
    </w:p>
    <w:p w14:paraId="161629CC" w14:textId="77777777" w:rsidR="007C585B" w:rsidRDefault="007C585B" w:rsidP="007C585B">
      <w:pPr>
        <w:pStyle w:val="PL"/>
        <w:rPr>
          <w:color w:val="808080"/>
        </w:rPr>
      </w:pPr>
      <w:r>
        <w:t xml:space="preserve">    </w:t>
      </w:r>
      <w:r>
        <w:rPr>
          <w:color w:val="808080"/>
        </w:rPr>
        <w:t>-- (see 38.213, section 7.4)</w:t>
      </w:r>
    </w:p>
    <w:p w14:paraId="6B4E4662" w14:textId="77777777" w:rsidR="007C585B" w:rsidRDefault="007C585B" w:rsidP="007C585B">
      <w:pPr>
        <w:pStyle w:val="PL"/>
      </w:pPr>
      <w:r>
        <w:t xml:space="preserve">    ss-PBCH-BlockPower                </w:t>
      </w:r>
      <w:r>
        <w:rPr>
          <w:color w:val="993366"/>
        </w:rPr>
        <w:t>INTEGER</w:t>
      </w:r>
      <w:r>
        <w:t xml:space="preserve"> (-60..50),</w:t>
      </w:r>
    </w:p>
    <w:p w14:paraId="2737D6EE" w14:textId="77777777" w:rsidR="007C585B" w:rsidRDefault="007C585B" w:rsidP="002E6BB6">
      <w:pPr>
        <w:pStyle w:val="BodyText"/>
      </w:pPr>
    </w:p>
    <w:p w14:paraId="614F7639" w14:textId="5A0DEC88" w:rsidR="002E6BB6" w:rsidRPr="002E6BB6" w:rsidRDefault="00D82AD7" w:rsidP="00D82AD7">
      <w:pPr>
        <w:pStyle w:val="BodyText"/>
      </w:pPr>
      <w:r>
        <w:t xml:space="preserve">Even though </w:t>
      </w:r>
      <w:r w:rsidR="002E6BB6" w:rsidRPr="002E6BB6">
        <w:t xml:space="preserve">RAN4 </w:t>
      </w:r>
      <w:r>
        <w:t xml:space="preserve">has </w:t>
      </w:r>
      <w:r w:rsidR="002E6BB6" w:rsidRPr="002E6BB6">
        <w:t>requirement</w:t>
      </w:r>
      <w:r>
        <w:t>s</w:t>
      </w:r>
      <w:r w:rsidR="002E6BB6" w:rsidRPr="002E6BB6">
        <w:t xml:space="preserve"> on power difference between a single RE and average power</w:t>
      </w:r>
      <w:r>
        <w:t xml:space="preserve">, this </w:t>
      </w:r>
      <w:r w:rsidR="002E6BB6" w:rsidRPr="002E6BB6">
        <w:t xml:space="preserve">applies per OFDM symbol and </w:t>
      </w:r>
      <w:r>
        <w:t xml:space="preserve">not across symbols, Since the </w:t>
      </w:r>
      <w:r w:rsidR="00254608">
        <w:t xml:space="preserve">SSS </w:t>
      </w:r>
      <w:r w:rsidR="006007EB">
        <w:t xml:space="preserve">will be </w:t>
      </w:r>
      <w:r>
        <w:t>i</w:t>
      </w:r>
      <w:r w:rsidR="006007EB">
        <w:t>n</w:t>
      </w:r>
      <w:r w:rsidR="00CC14DF">
        <w:t xml:space="preserve"> different symbols </w:t>
      </w:r>
      <w:r>
        <w:t xml:space="preserve">than </w:t>
      </w:r>
      <w:r w:rsidR="00CC14DF">
        <w:t>PDCCH</w:t>
      </w:r>
      <w:r>
        <w:t>, the power difference between SSS and PDCCH can be freely set.</w:t>
      </w:r>
    </w:p>
    <w:p w14:paraId="6EB5C538" w14:textId="6EBC1808" w:rsidR="00E833B6" w:rsidRPr="00D82AD7" w:rsidRDefault="00E833B6" w:rsidP="00D82AD7">
      <w:pPr>
        <w:pStyle w:val="BodyText"/>
      </w:pPr>
      <w:r>
        <w:t xml:space="preserve">When SSS and PDCCH are not QCL-ed, </w:t>
      </w:r>
      <w:r w:rsidRPr="00D82AD7">
        <w:t>the power difference at the UE receiver can be totally different from the power difference at the transmitter</w:t>
      </w:r>
      <w:r w:rsidR="00387813" w:rsidRPr="00D82AD7">
        <w:t xml:space="preserve">, thus </w:t>
      </w:r>
      <w:r w:rsidR="00D82AD7">
        <w:t>the usefulness of such a EPRE limitation is lim</w:t>
      </w:r>
      <w:r w:rsidR="00387813" w:rsidRPr="00D82AD7">
        <w:t>it</w:t>
      </w:r>
      <w:r w:rsidR="00D82AD7">
        <w:t xml:space="preserve">ed. </w:t>
      </w:r>
      <w:r w:rsidR="00537DFC">
        <w:t xml:space="preserve">In fact, pone should be careful with specifying such a limitation since it might mislead </w:t>
      </w:r>
      <w:r w:rsidR="00C63DE5">
        <w:t>UE implementations that such limitation also applies to the receiver side.</w:t>
      </w:r>
    </w:p>
    <w:p w14:paraId="31C5217D" w14:textId="56A9D806" w:rsidR="004E6074" w:rsidRDefault="004E6074" w:rsidP="00E833B6">
      <w:pPr>
        <w:spacing w:after="0"/>
        <w:rPr>
          <w:rFonts w:ascii="Calibri" w:hAnsi="Calibri"/>
        </w:rPr>
      </w:pPr>
    </w:p>
    <w:p w14:paraId="03BFF254" w14:textId="281A275E" w:rsidR="004E6074" w:rsidRDefault="00537DFC" w:rsidP="004E6074">
      <w:pPr>
        <w:pStyle w:val="BodyText"/>
      </w:pPr>
      <w:r>
        <w:t xml:space="preserve">Hence, having </w:t>
      </w:r>
      <w:r w:rsidR="007A6A22">
        <w:t>a range limitation as the agreement, i.e. [-12dB,12dB]</w:t>
      </w:r>
      <w:r w:rsidR="00387813">
        <w:t xml:space="preserve"> when SSS and PDCCH </w:t>
      </w:r>
      <w:r w:rsidR="00E04335">
        <w:t xml:space="preserve">DMRS </w:t>
      </w:r>
      <w:r w:rsidR="00387813">
        <w:t>are QCL-ed</w:t>
      </w:r>
      <w:r w:rsidR="00E04335">
        <w:t xml:space="preserve"> and the PDCCH has CRC scrambled by </w:t>
      </w:r>
      <w:r w:rsidR="00E04335" w:rsidRPr="006C1DD4">
        <w:t>SI-RNTI, P-RNTI and RA-RNTI</w:t>
      </w:r>
      <w:r w:rsidR="00D82AD7">
        <w:t xml:space="preserve"> is fine</w:t>
      </w:r>
      <w:r w:rsidR="00C63DE5">
        <w:t xml:space="preserve">, but </w:t>
      </w:r>
      <w:r w:rsidR="00083E99">
        <w:t xml:space="preserve">other </w:t>
      </w:r>
      <w:r w:rsidR="00C63DE5">
        <w:t>EPRE limitations should</w:t>
      </w:r>
      <w:r w:rsidR="00083E99">
        <w:t xml:space="preserve"> not be specified.</w:t>
      </w:r>
    </w:p>
    <w:p w14:paraId="4CD13313" w14:textId="77777777" w:rsidR="004E6074" w:rsidRPr="004E6074" w:rsidRDefault="004E6074" w:rsidP="00E833B6">
      <w:pPr>
        <w:spacing w:after="0"/>
        <w:rPr>
          <w:rFonts w:ascii="Calibri" w:hAnsi="Calibri"/>
        </w:rPr>
      </w:pPr>
    </w:p>
    <w:p w14:paraId="324BBF46" w14:textId="46D342AE" w:rsidR="00E833B6" w:rsidRPr="00E833B6" w:rsidRDefault="00E833B6" w:rsidP="00E833B6">
      <w:pPr>
        <w:spacing w:after="0"/>
        <w:rPr>
          <w:rFonts w:ascii="Calibri" w:hAnsi="Calibri"/>
          <w:lang w:val="en-US"/>
        </w:rPr>
      </w:pPr>
    </w:p>
    <w:p w14:paraId="1B206A7C" w14:textId="27AAD059" w:rsidR="0028315C" w:rsidRDefault="00D82AD7" w:rsidP="0028315C">
      <w:pPr>
        <w:pStyle w:val="Proposal"/>
      </w:pPr>
      <w:bookmarkStart w:id="0" w:name="_Toc513839067"/>
      <w:r>
        <w:lastRenderedPageBreak/>
        <w:t xml:space="preserve">The EPRE </w:t>
      </w:r>
      <w:r w:rsidR="0028315C" w:rsidRPr="002E6BB6">
        <w:t>range limitation between SSS and PDCCH</w:t>
      </w:r>
      <w:r w:rsidR="008605AA">
        <w:t xml:space="preserve"> </w:t>
      </w:r>
      <w:r w:rsidR="00DF3E8C" w:rsidRPr="006C1DD4">
        <w:t>with CRC scrambled by SI-RNTI, P-RNTI and RA-RNTI</w:t>
      </w:r>
      <w:r w:rsidR="00DF3E8C">
        <w:t xml:space="preserve"> </w:t>
      </w:r>
      <w:r w:rsidR="00387813">
        <w:t xml:space="preserve">when </w:t>
      </w:r>
      <w:r w:rsidR="000708E5">
        <w:t>the PDCCH DMRS and SSS are</w:t>
      </w:r>
      <w:r w:rsidR="00387813">
        <w:t xml:space="preserve"> QCL-ed</w:t>
      </w:r>
      <w:r>
        <w:t xml:space="preserve"> is set to </w:t>
      </w:r>
      <w:r>
        <w:t>[-12dB, 12dB]</w:t>
      </w:r>
      <w:bookmarkEnd w:id="0"/>
    </w:p>
    <w:p w14:paraId="376A54B2" w14:textId="77777777" w:rsidR="000C24F0" w:rsidRPr="00CE0424" w:rsidRDefault="000C24F0" w:rsidP="000C24F0">
      <w:pPr>
        <w:pStyle w:val="Proposal"/>
        <w:numPr>
          <w:ilvl w:val="0"/>
          <w:numId w:val="0"/>
        </w:numPr>
      </w:pPr>
    </w:p>
    <w:p w14:paraId="62799F7C" w14:textId="77777777" w:rsidR="00D90998" w:rsidRPr="00CE0424" w:rsidRDefault="00D90998" w:rsidP="00D90998">
      <w:pPr>
        <w:pStyle w:val="Heading1"/>
        <w:numPr>
          <w:ilvl w:val="0"/>
          <w:numId w:val="0"/>
        </w:numPr>
        <w:ind w:left="432" w:hanging="432"/>
      </w:pPr>
      <w:r w:rsidRPr="00CE0424">
        <w:t>Conclusion</w:t>
      </w:r>
    </w:p>
    <w:p w14:paraId="7833233B" w14:textId="614AC733" w:rsidR="006016A4" w:rsidRDefault="006016A4" w:rsidP="006016A4">
      <w:pPr>
        <w:rPr>
          <w:rFonts w:cs="Arial"/>
        </w:rPr>
      </w:pPr>
      <w:r w:rsidRPr="004C2BFC">
        <w:rPr>
          <w:rFonts w:cs="Arial"/>
        </w:rPr>
        <w:t xml:space="preserve">Based on the discussions in </w:t>
      </w:r>
      <w:r>
        <w:rPr>
          <w:rFonts w:cs="Arial"/>
        </w:rPr>
        <w:t xml:space="preserve">this contribution </w:t>
      </w:r>
      <w:r w:rsidRPr="004C2BFC">
        <w:rPr>
          <w:rFonts w:cs="Arial"/>
        </w:rPr>
        <w:t>we propose the following:</w:t>
      </w:r>
    </w:p>
    <w:bookmarkStart w:id="1" w:name="_GoBack"/>
    <w:bookmarkEnd w:id="1"/>
    <w:p w14:paraId="6EF14979" w14:textId="77777777" w:rsidR="00090BA5" w:rsidRDefault="006016A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\n \h \z \t "Proposal,1" </w:instrText>
      </w:r>
      <w:r>
        <w:rPr>
          <w:rFonts w:cs="Arial"/>
        </w:rPr>
        <w:fldChar w:fldCharType="separate"/>
      </w:r>
      <w:hyperlink w:anchor="_Toc513839067" w:history="1">
        <w:r w:rsidR="00090BA5" w:rsidRPr="00AB4936">
          <w:rPr>
            <w:rStyle w:val="Hyperlink"/>
          </w:rPr>
          <w:t>Proposal 1</w:t>
        </w:r>
        <w:r w:rsidR="00090BA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90BA5" w:rsidRPr="00AB4936">
          <w:rPr>
            <w:rStyle w:val="Hyperlink"/>
          </w:rPr>
          <w:t>The EPRE range limitation between SSS and PDCCH with CRC scrambled by SI-RNTI, P-RNTI and RA-RNTI when the PDCCH DMRS and SSS are QCL-ed is set to [-12dB, 12dB]</w:t>
        </w:r>
      </w:hyperlink>
    </w:p>
    <w:p w14:paraId="703ED221" w14:textId="42A27F0F" w:rsidR="00C01F33" w:rsidRPr="00685013" w:rsidRDefault="006016A4" w:rsidP="006E062C">
      <w:pPr>
        <w:rPr>
          <w:b/>
          <w:bCs/>
        </w:rPr>
      </w:pPr>
      <w:r>
        <w:rPr>
          <w:rFonts w:cs="Arial"/>
        </w:rPr>
        <w:fldChar w:fldCharType="end"/>
      </w:r>
      <w:r w:rsidRPr="00CE0424">
        <w:rPr>
          <w:b/>
          <w:bCs/>
        </w:rPr>
        <w:t xml:space="preserve"> </w:t>
      </w:r>
    </w:p>
    <w:p w14:paraId="35102138" w14:textId="77777777" w:rsidR="00F507D1" w:rsidRPr="00CE0424" w:rsidRDefault="00F507D1" w:rsidP="00D90998">
      <w:pPr>
        <w:pStyle w:val="Heading1"/>
        <w:numPr>
          <w:ilvl w:val="0"/>
          <w:numId w:val="0"/>
        </w:numPr>
        <w:ind w:left="432" w:hanging="432"/>
      </w:pPr>
      <w:bookmarkStart w:id="2" w:name="_In-sequence_SDU_delivery"/>
      <w:bookmarkEnd w:id="2"/>
      <w:r w:rsidRPr="00CE0424">
        <w:t>References</w:t>
      </w:r>
    </w:p>
    <w:p w14:paraId="0D6304BA" w14:textId="52925E79" w:rsidR="0061187F" w:rsidRPr="004A5783" w:rsidRDefault="004A5783" w:rsidP="004A5783">
      <w:pPr>
        <w:pStyle w:val="Reference"/>
        <w:rPr>
          <w:rStyle w:val="Hyperlink"/>
          <w:color w:val="auto"/>
          <w:u w:val="none"/>
        </w:rPr>
      </w:pPr>
      <w:bookmarkStart w:id="3" w:name="_Ref513370154"/>
      <w:r w:rsidRPr="00191A9E">
        <w:t>3GPP TS 38.331 V15.1.0</w:t>
      </w:r>
      <w:r>
        <w:t>, NR; Radio Resource Control (RRC) protocol specification, RAN #79, March 2018</w:t>
      </w:r>
      <w:bookmarkEnd w:id="3"/>
    </w:p>
    <w:sectPr w:rsidR="0061187F" w:rsidRPr="004A5783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2229E" w14:textId="77777777" w:rsidR="009A2499" w:rsidRDefault="009A2499">
      <w:r>
        <w:separator/>
      </w:r>
    </w:p>
  </w:endnote>
  <w:endnote w:type="continuationSeparator" w:id="0">
    <w:p w14:paraId="026E5EFE" w14:textId="77777777" w:rsidR="009A2499" w:rsidRDefault="009A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3EBCA" w14:textId="3083FFE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249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A249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17424" w14:textId="77777777" w:rsidR="009A2499" w:rsidRDefault="009A2499">
      <w:r>
        <w:separator/>
      </w:r>
    </w:p>
  </w:footnote>
  <w:footnote w:type="continuationSeparator" w:id="0">
    <w:p w14:paraId="34357892" w14:textId="77777777" w:rsidR="009A2499" w:rsidRDefault="009A2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968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4"/>
  </w:num>
  <w:num w:numId="15">
    <w:abstractNumId w:val="12"/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4F0"/>
    <w:rsid w:val="000006E1"/>
    <w:rsid w:val="00002A37"/>
    <w:rsid w:val="00006446"/>
    <w:rsid w:val="00006896"/>
    <w:rsid w:val="00007CDC"/>
    <w:rsid w:val="00011B28"/>
    <w:rsid w:val="00015D15"/>
    <w:rsid w:val="000175F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8E5"/>
    <w:rsid w:val="00077E5F"/>
    <w:rsid w:val="0008036A"/>
    <w:rsid w:val="00081AE6"/>
    <w:rsid w:val="00083E99"/>
    <w:rsid w:val="000855EB"/>
    <w:rsid w:val="00085B52"/>
    <w:rsid w:val="000866F2"/>
    <w:rsid w:val="0009009F"/>
    <w:rsid w:val="00090BA5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4F0"/>
    <w:rsid w:val="000C2E19"/>
    <w:rsid w:val="000C459E"/>
    <w:rsid w:val="000D0AB6"/>
    <w:rsid w:val="000D0D07"/>
    <w:rsid w:val="000D4797"/>
    <w:rsid w:val="000E0527"/>
    <w:rsid w:val="000E0C26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C5B"/>
    <w:rsid w:val="00113CF4"/>
    <w:rsid w:val="001153EA"/>
    <w:rsid w:val="00115643"/>
    <w:rsid w:val="00116765"/>
    <w:rsid w:val="00117ADA"/>
    <w:rsid w:val="00120641"/>
    <w:rsid w:val="001219F5"/>
    <w:rsid w:val="00121A20"/>
    <w:rsid w:val="0012377F"/>
    <w:rsid w:val="0012420E"/>
    <w:rsid w:val="00124314"/>
    <w:rsid w:val="00126B4A"/>
    <w:rsid w:val="00132FD0"/>
    <w:rsid w:val="001344C0"/>
    <w:rsid w:val="001346FA"/>
    <w:rsid w:val="00135252"/>
    <w:rsid w:val="00137AB5"/>
    <w:rsid w:val="00137F0B"/>
    <w:rsid w:val="00146EBE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D8C"/>
    <w:rsid w:val="001D51BA"/>
    <w:rsid w:val="001D6342"/>
    <w:rsid w:val="001D6D53"/>
    <w:rsid w:val="001E025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60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15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37AE"/>
    <w:rsid w:val="002E6BB6"/>
    <w:rsid w:val="002E7CAE"/>
    <w:rsid w:val="002F2771"/>
    <w:rsid w:val="002F37A9"/>
    <w:rsid w:val="002F5989"/>
    <w:rsid w:val="00301CE6"/>
    <w:rsid w:val="0030256B"/>
    <w:rsid w:val="00302F21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6340"/>
    <w:rsid w:val="00331751"/>
    <w:rsid w:val="00334579"/>
    <w:rsid w:val="00335051"/>
    <w:rsid w:val="00335858"/>
    <w:rsid w:val="00336BDA"/>
    <w:rsid w:val="00342BD7"/>
    <w:rsid w:val="00346DB5"/>
    <w:rsid w:val="003477B1"/>
    <w:rsid w:val="00357380"/>
    <w:rsid w:val="003602D9"/>
    <w:rsid w:val="003604CE"/>
    <w:rsid w:val="003655DD"/>
    <w:rsid w:val="00370E47"/>
    <w:rsid w:val="003742AC"/>
    <w:rsid w:val="00377CE1"/>
    <w:rsid w:val="00385BF0"/>
    <w:rsid w:val="00387813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306"/>
    <w:rsid w:val="003B7FE5"/>
    <w:rsid w:val="003C042C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169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1E97"/>
    <w:rsid w:val="004624F2"/>
    <w:rsid w:val="004669E2"/>
    <w:rsid w:val="00470C31"/>
    <w:rsid w:val="004734D0"/>
    <w:rsid w:val="0047556B"/>
    <w:rsid w:val="00477768"/>
    <w:rsid w:val="00491A42"/>
    <w:rsid w:val="00492BC5"/>
    <w:rsid w:val="004964F1"/>
    <w:rsid w:val="004A16BC"/>
    <w:rsid w:val="004A2B94"/>
    <w:rsid w:val="004A5783"/>
    <w:rsid w:val="004B7C0C"/>
    <w:rsid w:val="004C3898"/>
    <w:rsid w:val="004C3AC4"/>
    <w:rsid w:val="004D36B1"/>
    <w:rsid w:val="004D5A45"/>
    <w:rsid w:val="004D7EBD"/>
    <w:rsid w:val="004E2680"/>
    <w:rsid w:val="004E28F9"/>
    <w:rsid w:val="004E45E7"/>
    <w:rsid w:val="004E462E"/>
    <w:rsid w:val="004E56DC"/>
    <w:rsid w:val="004E6074"/>
    <w:rsid w:val="004E76F4"/>
    <w:rsid w:val="004F0B4E"/>
    <w:rsid w:val="004F0B6C"/>
    <w:rsid w:val="004F2078"/>
    <w:rsid w:val="004F4340"/>
    <w:rsid w:val="004F4DA3"/>
    <w:rsid w:val="00504A16"/>
    <w:rsid w:val="00506557"/>
    <w:rsid w:val="0050677A"/>
    <w:rsid w:val="005108D8"/>
    <w:rsid w:val="005116F9"/>
    <w:rsid w:val="005153A7"/>
    <w:rsid w:val="005219CF"/>
    <w:rsid w:val="005260F1"/>
    <w:rsid w:val="00532AF3"/>
    <w:rsid w:val="00534B59"/>
    <w:rsid w:val="00536759"/>
    <w:rsid w:val="00537C62"/>
    <w:rsid w:val="00537DFC"/>
    <w:rsid w:val="00546970"/>
    <w:rsid w:val="00554E19"/>
    <w:rsid w:val="0056121F"/>
    <w:rsid w:val="00566DB8"/>
    <w:rsid w:val="00570A7E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464"/>
    <w:rsid w:val="005A662D"/>
    <w:rsid w:val="005B35D7"/>
    <w:rsid w:val="005B386C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960"/>
    <w:rsid w:val="005F618C"/>
    <w:rsid w:val="005F70BD"/>
    <w:rsid w:val="006007EB"/>
    <w:rsid w:val="006016A4"/>
    <w:rsid w:val="0060283C"/>
    <w:rsid w:val="00604F14"/>
    <w:rsid w:val="0061187F"/>
    <w:rsid w:val="00611B83"/>
    <w:rsid w:val="00613257"/>
    <w:rsid w:val="00616BB3"/>
    <w:rsid w:val="00620A71"/>
    <w:rsid w:val="00620D80"/>
    <w:rsid w:val="006234A6"/>
    <w:rsid w:val="006256F7"/>
    <w:rsid w:val="00630001"/>
    <w:rsid w:val="006311B3"/>
    <w:rsid w:val="00632584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8A0"/>
    <w:rsid w:val="00685013"/>
    <w:rsid w:val="00692867"/>
    <w:rsid w:val="00692D53"/>
    <w:rsid w:val="00695FC2"/>
    <w:rsid w:val="00696949"/>
    <w:rsid w:val="00697052"/>
    <w:rsid w:val="006A46FB"/>
    <w:rsid w:val="006A5E28"/>
    <w:rsid w:val="006A697B"/>
    <w:rsid w:val="006A7AFF"/>
    <w:rsid w:val="006B0AB2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0B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ADC"/>
    <w:rsid w:val="007362A6"/>
    <w:rsid w:val="00736D7D"/>
    <w:rsid w:val="00740E58"/>
    <w:rsid w:val="007445A0"/>
    <w:rsid w:val="0074524B"/>
    <w:rsid w:val="00747D8B"/>
    <w:rsid w:val="00751228"/>
    <w:rsid w:val="007530FE"/>
    <w:rsid w:val="007571E1"/>
    <w:rsid w:val="007604B2"/>
    <w:rsid w:val="00765281"/>
    <w:rsid w:val="00766BAD"/>
    <w:rsid w:val="007755F2"/>
    <w:rsid w:val="00776971"/>
    <w:rsid w:val="00776FDC"/>
    <w:rsid w:val="0078177E"/>
    <w:rsid w:val="0078304C"/>
    <w:rsid w:val="00783673"/>
    <w:rsid w:val="00785490"/>
    <w:rsid w:val="00786041"/>
    <w:rsid w:val="007925EA"/>
    <w:rsid w:val="00793CD8"/>
    <w:rsid w:val="00795288"/>
    <w:rsid w:val="00795C92"/>
    <w:rsid w:val="00796231"/>
    <w:rsid w:val="007A1CB3"/>
    <w:rsid w:val="007A306F"/>
    <w:rsid w:val="007A43A6"/>
    <w:rsid w:val="007A58A6"/>
    <w:rsid w:val="007A6A22"/>
    <w:rsid w:val="007A6E25"/>
    <w:rsid w:val="007B3D2D"/>
    <w:rsid w:val="007B4829"/>
    <w:rsid w:val="007B50AE"/>
    <w:rsid w:val="007B51DF"/>
    <w:rsid w:val="007C05DD"/>
    <w:rsid w:val="007C3D18"/>
    <w:rsid w:val="007C585B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E4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701"/>
    <w:rsid w:val="008279F3"/>
    <w:rsid w:val="00827D6F"/>
    <w:rsid w:val="00832613"/>
    <w:rsid w:val="00835430"/>
    <w:rsid w:val="008376AC"/>
    <w:rsid w:val="008444E8"/>
    <w:rsid w:val="00844E80"/>
    <w:rsid w:val="00846FE7"/>
    <w:rsid w:val="00856911"/>
    <w:rsid w:val="008605AA"/>
    <w:rsid w:val="008677FD"/>
    <w:rsid w:val="008706D4"/>
    <w:rsid w:val="00870F8A"/>
    <w:rsid w:val="008719A4"/>
    <w:rsid w:val="00871D23"/>
    <w:rsid w:val="008720CD"/>
    <w:rsid w:val="00874312"/>
    <w:rsid w:val="0087437C"/>
    <w:rsid w:val="00875CD7"/>
    <w:rsid w:val="00876B4D"/>
    <w:rsid w:val="00877F18"/>
    <w:rsid w:val="008843FB"/>
    <w:rsid w:val="0088653B"/>
    <w:rsid w:val="00894A88"/>
    <w:rsid w:val="00895386"/>
    <w:rsid w:val="008A1052"/>
    <w:rsid w:val="008A21FF"/>
    <w:rsid w:val="008A27DF"/>
    <w:rsid w:val="008A2CE2"/>
    <w:rsid w:val="008A30AC"/>
    <w:rsid w:val="008A44B8"/>
    <w:rsid w:val="008A51A8"/>
    <w:rsid w:val="008A54C7"/>
    <w:rsid w:val="008A5BEB"/>
    <w:rsid w:val="008A77D8"/>
    <w:rsid w:val="008B0483"/>
    <w:rsid w:val="008B120C"/>
    <w:rsid w:val="008B51A0"/>
    <w:rsid w:val="008B592A"/>
    <w:rsid w:val="008B7B5C"/>
    <w:rsid w:val="008C0368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6BB"/>
    <w:rsid w:val="009368F3"/>
    <w:rsid w:val="00941636"/>
    <w:rsid w:val="00943742"/>
    <w:rsid w:val="00945C05"/>
    <w:rsid w:val="00946945"/>
    <w:rsid w:val="00947713"/>
    <w:rsid w:val="00950DE7"/>
    <w:rsid w:val="009532FA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499"/>
    <w:rsid w:val="009A462D"/>
    <w:rsid w:val="009A5CBA"/>
    <w:rsid w:val="009B1F30"/>
    <w:rsid w:val="009B3AC2"/>
    <w:rsid w:val="009B4DF4"/>
    <w:rsid w:val="009B564E"/>
    <w:rsid w:val="009B67BA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43BC"/>
    <w:rsid w:val="00A264A9"/>
    <w:rsid w:val="00A27785"/>
    <w:rsid w:val="00A30187"/>
    <w:rsid w:val="00A30C74"/>
    <w:rsid w:val="00A3448A"/>
    <w:rsid w:val="00A36297"/>
    <w:rsid w:val="00A41E2B"/>
    <w:rsid w:val="00A44C1E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DF3"/>
    <w:rsid w:val="00AD0AA3"/>
    <w:rsid w:val="00AD22FD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5A7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6B7E"/>
    <w:rsid w:val="00B664C7"/>
    <w:rsid w:val="00B739F6"/>
    <w:rsid w:val="00B81A6C"/>
    <w:rsid w:val="00B85DE5"/>
    <w:rsid w:val="00B8773E"/>
    <w:rsid w:val="00B90F73"/>
    <w:rsid w:val="00B93B59"/>
    <w:rsid w:val="00B9406A"/>
    <w:rsid w:val="00B96E62"/>
    <w:rsid w:val="00BA2280"/>
    <w:rsid w:val="00BA2A08"/>
    <w:rsid w:val="00BA56D2"/>
    <w:rsid w:val="00BA76E0"/>
    <w:rsid w:val="00BB2A25"/>
    <w:rsid w:val="00BB51E9"/>
    <w:rsid w:val="00BB5246"/>
    <w:rsid w:val="00BC0FDC"/>
    <w:rsid w:val="00BC1892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7FC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3DE5"/>
    <w:rsid w:val="00C64672"/>
    <w:rsid w:val="00C70697"/>
    <w:rsid w:val="00C70B08"/>
    <w:rsid w:val="00C72EF4"/>
    <w:rsid w:val="00C75D2F"/>
    <w:rsid w:val="00C767BE"/>
    <w:rsid w:val="00C76E3C"/>
    <w:rsid w:val="00C81568"/>
    <w:rsid w:val="00C82B5A"/>
    <w:rsid w:val="00C9027A"/>
    <w:rsid w:val="00C9068E"/>
    <w:rsid w:val="00C93C4B"/>
    <w:rsid w:val="00C944AB"/>
    <w:rsid w:val="00C95B40"/>
    <w:rsid w:val="00CA12D3"/>
    <w:rsid w:val="00CA1ED8"/>
    <w:rsid w:val="00CB1F63"/>
    <w:rsid w:val="00CB7170"/>
    <w:rsid w:val="00CC040E"/>
    <w:rsid w:val="00CC111F"/>
    <w:rsid w:val="00CC14D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12A"/>
    <w:rsid w:val="00D5268A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AD7"/>
    <w:rsid w:val="00D86CA3"/>
    <w:rsid w:val="00D871CE"/>
    <w:rsid w:val="00D90998"/>
    <w:rsid w:val="00D9196D"/>
    <w:rsid w:val="00D92982"/>
    <w:rsid w:val="00D9455C"/>
    <w:rsid w:val="00DA305E"/>
    <w:rsid w:val="00DA5417"/>
    <w:rsid w:val="00DA56E8"/>
    <w:rsid w:val="00DB0A9F"/>
    <w:rsid w:val="00DB377D"/>
    <w:rsid w:val="00DB57ED"/>
    <w:rsid w:val="00DC2D36"/>
    <w:rsid w:val="00DC53EF"/>
    <w:rsid w:val="00DD6D6A"/>
    <w:rsid w:val="00DE5608"/>
    <w:rsid w:val="00DE58D0"/>
    <w:rsid w:val="00DE654F"/>
    <w:rsid w:val="00DF0B6E"/>
    <w:rsid w:val="00DF15E0"/>
    <w:rsid w:val="00DF37A0"/>
    <w:rsid w:val="00DF3E8C"/>
    <w:rsid w:val="00E04335"/>
    <w:rsid w:val="00E110E7"/>
    <w:rsid w:val="00E11B20"/>
    <w:rsid w:val="00E17FA2"/>
    <w:rsid w:val="00E22330"/>
    <w:rsid w:val="00E30B5A"/>
    <w:rsid w:val="00E3116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3B6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6E1"/>
    <w:rsid w:val="00EC27C6"/>
    <w:rsid w:val="00EC4207"/>
    <w:rsid w:val="00EC5653"/>
    <w:rsid w:val="00EC71CE"/>
    <w:rsid w:val="00ED1006"/>
    <w:rsid w:val="00ED1159"/>
    <w:rsid w:val="00EF18FE"/>
    <w:rsid w:val="00EF5787"/>
    <w:rsid w:val="00EF60D0"/>
    <w:rsid w:val="00EF75AB"/>
    <w:rsid w:val="00F0528D"/>
    <w:rsid w:val="00F06C67"/>
    <w:rsid w:val="00F06DFD"/>
    <w:rsid w:val="00F071D1"/>
    <w:rsid w:val="00F07533"/>
    <w:rsid w:val="00F10629"/>
    <w:rsid w:val="00F14E34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7F"/>
    <w:rsid w:val="00F817CE"/>
    <w:rsid w:val="00F8456C"/>
    <w:rsid w:val="00F859D8"/>
    <w:rsid w:val="00F868F5"/>
    <w:rsid w:val="00F9056A"/>
    <w:rsid w:val="00F90F8D"/>
    <w:rsid w:val="00F92782"/>
    <w:rsid w:val="00F93AA9"/>
    <w:rsid w:val="00F94B18"/>
    <w:rsid w:val="00F96985"/>
    <w:rsid w:val="00F97838"/>
    <w:rsid w:val="00FA2BB3"/>
    <w:rsid w:val="00FB4C80"/>
    <w:rsid w:val="00FB6A6A"/>
    <w:rsid w:val="00FC3F5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C2381B"/>
  <w15:chartTrackingRefBased/>
  <w15:docId w15:val="{1997262E-2C06-447F-8496-71CC8C5B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32F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532F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532F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532F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532F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532F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532F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532F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532F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532F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9532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32FA"/>
  </w:style>
  <w:style w:type="paragraph" w:styleId="TOC8">
    <w:name w:val="toc 8"/>
    <w:basedOn w:val="TOC1"/>
    <w:semiHidden/>
    <w:rsid w:val="009532F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532F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532F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532F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532F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532FA"/>
    <w:pPr>
      <w:ind w:left="1418" w:hanging="1418"/>
    </w:pPr>
  </w:style>
  <w:style w:type="paragraph" w:styleId="TOC3">
    <w:name w:val="toc 3"/>
    <w:basedOn w:val="TOC2"/>
    <w:semiHidden/>
    <w:rsid w:val="009532FA"/>
    <w:pPr>
      <w:ind w:left="1134" w:hanging="1134"/>
    </w:pPr>
  </w:style>
  <w:style w:type="paragraph" w:styleId="TOC2">
    <w:name w:val="toc 2"/>
    <w:basedOn w:val="TOC1"/>
    <w:semiHidden/>
    <w:rsid w:val="009532F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532FA"/>
    <w:pPr>
      <w:ind w:left="284"/>
    </w:pPr>
  </w:style>
  <w:style w:type="paragraph" w:styleId="Index1">
    <w:name w:val="index 1"/>
    <w:basedOn w:val="Normal"/>
    <w:semiHidden/>
    <w:rsid w:val="009532FA"/>
    <w:pPr>
      <w:keepLines/>
      <w:spacing w:after="0"/>
    </w:pPr>
  </w:style>
  <w:style w:type="paragraph" w:styleId="DocumentMap">
    <w:name w:val="Document Map"/>
    <w:basedOn w:val="Normal"/>
    <w:semiHidden/>
    <w:rsid w:val="009532F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532FA"/>
    <w:pPr>
      <w:ind w:left="851"/>
    </w:pPr>
  </w:style>
  <w:style w:type="paragraph" w:styleId="ListNumber">
    <w:name w:val="List Number"/>
    <w:basedOn w:val="List"/>
    <w:rsid w:val="009532FA"/>
  </w:style>
  <w:style w:type="paragraph" w:styleId="List">
    <w:name w:val="List"/>
    <w:basedOn w:val="Normal"/>
    <w:rsid w:val="009532FA"/>
    <w:pPr>
      <w:ind w:left="568" w:hanging="284"/>
    </w:pPr>
  </w:style>
  <w:style w:type="paragraph" w:styleId="Header">
    <w:name w:val="header"/>
    <w:rsid w:val="009532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532F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532F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532F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532FA"/>
    <w:pPr>
      <w:ind w:left="1418" w:hanging="1418"/>
    </w:pPr>
  </w:style>
  <w:style w:type="paragraph" w:styleId="TOC6">
    <w:name w:val="toc 6"/>
    <w:basedOn w:val="TOC5"/>
    <w:next w:val="Normal"/>
    <w:semiHidden/>
    <w:rsid w:val="009532FA"/>
    <w:pPr>
      <w:ind w:left="1985" w:hanging="1985"/>
    </w:pPr>
  </w:style>
  <w:style w:type="paragraph" w:styleId="TOC7">
    <w:name w:val="toc 7"/>
    <w:basedOn w:val="TOC6"/>
    <w:next w:val="Normal"/>
    <w:semiHidden/>
    <w:rsid w:val="009532FA"/>
    <w:pPr>
      <w:ind w:left="2268" w:hanging="2268"/>
    </w:pPr>
  </w:style>
  <w:style w:type="paragraph" w:styleId="ListBullet2">
    <w:name w:val="List Bullet 2"/>
    <w:basedOn w:val="ListBullet"/>
    <w:rsid w:val="009532FA"/>
    <w:pPr>
      <w:numPr>
        <w:numId w:val="6"/>
      </w:numPr>
    </w:pPr>
  </w:style>
  <w:style w:type="paragraph" w:styleId="ListBullet">
    <w:name w:val="List Bullet"/>
    <w:basedOn w:val="BodyText"/>
    <w:rsid w:val="009532FA"/>
    <w:pPr>
      <w:numPr>
        <w:numId w:val="5"/>
      </w:numPr>
    </w:pPr>
  </w:style>
  <w:style w:type="paragraph" w:styleId="ListBullet3">
    <w:name w:val="List Bullet 3"/>
    <w:basedOn w:val="ListBullet2"/>
    <w:rsid w:val="009532FA"/>
    <w:pPr>
      <w:numPr>
        <w:numId w:val="7"/>
      </w:numPr>
    </w:pPr>
  </w:style>
  <w:style w:type="paragraph" w:customStyle="1" w:styleId="EQ">
    <w:name w:val="EQ"/>
    <w:basedOn w:val="Normal"/>
    <w:next w:val="Normal"/>
    <w:rsid w:val="009532F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532FA"/>
    <w:pPr>
      <w:ind w:left="851"/>
    </w:pPr>
  </w:style>
  <w:style w:type="paragraph" w:styleId="List3">
    <w:name w:val="List 3"/>
    <w:basedOn w:val="List2"/>
    <w:rsid w:val="009532FA"/>
    <w:pPr>
      <w:ind w:left="1135"/>
    </w:pPr>
  </w:style>
  <w:style w:type="paragraph" w:styleId="List4">
    <w:name w:val="List 4"/>
    <w:basedOn w:val="List3"/>
    <w:rsid w:val="009532FA"/>
    <w:pPr>
      <w:ind w:left="1418"/>
    </w:pPr>
  </w:style>
  <w:style w:type="paragraph" w:styleId="List5">
    <w:name w:val="List 5"/>
    <w:basedOn w:val="List4"/>
    <w:rsid w:val="009532FA"/>
    <w:pPr>
      <w:ind w:left="1702"/>
    </w:pPr>
  </w:style>
  <w:style w:type="paragraph" w:customStyle="1" w:styleId="EditorsNote">
    <w:name w:val="Editor's Note"/>
    <w:basedOn w:val="Normal"/>
    <w:rsid w:val="009532F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532FA"/>
    <w:pPr>
      <w:numPr>
        <w:numId w:val="8"/>
      </w:numPr>
    </w:pPr>
  </w:style>
  <w:style w:type="paragraph" w:styleId="ListBullet5">
    <w:name w:val="List Bullet 5"/>
    <w:basedOn w:val="ListBullet4"/>
    <w:rsid w:val="009532FA"/>
    <w:pPr>
      <w:numPr>
        <w:numId w:val="4"/>
      </w:numPr>
    </w:pPr>
  </w:style>
  <w:style w:type="paragraph" w:styleId="Footer">
    <w:name w:val="footer"/>
    <w:basedOn w:val="Header"/>
    <w:semiHidden/>
    <w:rsid w:val="009532FA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532FA"/>
    <w:pPr>
      <w:numPr>
        <w:numId w:val="2"/>
      </w:numPr>
    </w:pPr>
  </w:style>
  <w:style w:type="paragraph" w:styleId="BalloonText">
    <w:name w:val="Balloon Text"/>
    <w:basedOn w:val="Normal"/>
    <w:semiHidden/>
    <w:rsid w:val="009532F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532FA"/>
  </w:style>
  <w:style w:type="paragraph" w:styleId="BodyText">
    <w:name w:val="Body Text"/>
    <w:basedOn w:val="Normal"/>
    <w:link w:val="BodyTextChar"/>
    <w:rsid w:val="009532FA"/>
  </w:style>
  <w:style w:type="character" w:styleId="Hyperlink">
    <w:name w:val="Hyperlink"/>
    <w:uiPriority w:val="99"/>
    <w:rsid w:val="009532FA"/>
    <w:rPr>
      <w:color w:val="0000FF"/>
      <w:u w:val="single"/>
      <w:lang w:val="en-GB"/>
    </w:rPr>
  </w:style>
  <w:style w:type="character" w:styleId="FollowedHyperlink">
    <w:name w:val="FollowedHyperlink"/>
    <w:semiHidden/>
    <w:rsid w:val="009532FA"/>
    <w:rPr>
      <w:color w:val="FF0000"/>
      <w:u w:val="single"/>
    </w:rPr>
  </w:style>
  <w:style w:type="character" w:styleId="CommentReference">
    <w:name w:val="annotation reference"/>
    <w:semiHidden/>
    <w:rsid w:val="009532FA"/>
    <w:rPr>
      <w:sz w:val="16"/>
      <w:szCs w:val="16"/>
    </w:rPr>
  </w:style>
  <w:style w:type="paragraph" w:styleId="CommentText">
    <w:name w:val="annotation text"/>
    <w:basedOn w:val="Normal"/>
    <w:semiHidden/>
    <w:rsid w:val="009532FA"/>
  </w:style>
  <w:style w:type="paragraph" w:styleId="CommentSubject">
    <w:name w:val="annotation subject"/>
    <w:basedOn w:val="CommentText"/>
    <w:next w:val="CommentText"/>
    <w:semiHidden/>
    <w:rsid w:val="009532FA"/>
    <w:rPr>
      <w:b/>
      <w:bCs/>
    </w:rPr>
  </w:style>
  <w:style w:type="character" w:customStyle="1" w:styleId="Heading1Char">
    <w:name w:val="Heading 1 Char"/>
    <w:link w:val="Heading1"/>
    <w:rsid w:val="009532F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532F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532F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532F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532F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532F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532F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532F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532F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532FA"/>
    <w:pPr>
      <w:spacing w:after="0"/>
    </w:pPr>
  </w:style>
  <w:style w:type="paragraph" w:customStyle="1" w:styleId="TAL">
    <w:name w:val="TAL"/>
    <w:basedOn w:val="Normal"/>
    <w:rsid w:val="009532F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532FA"/>
    <w:pPr>
      <w:jc w:val="center"/>
    </w:pPr>
  </w:style>
  <w:style w:type="paragraph" w:customStyle="1" w:styleId="TAH">
    <w:name w:val="TAH"/>
    <w:basedOn w:val="TAC"/>
    <w:rsid w:val="009532FA"/>
    <w:rPr>
      <w:b/>
    </w:rPr>
  </w:style>
  <w:style w:type="paragraph" w:customStyle="1" w:styleId="TAN">
    <w:name w:val="TAN"/>
    <w:basedOn w:val="TAL"/>
    <w:rsid w:val="009532FA"/>
    <w:pPr>
      <w:ind w:left="851" w:hanging="851"/>
    </w:pPr>
  </w:style>
  <w:style w:type="paragraph" w:customStyle="1" w:styleId="TAR">
    <w:name w:val="TAR"/>
    <w:basedOn w:val="TAL"/>
    <w:rsid w:val="009532FA"/>
    <w:pPr>
      <w:jc w:val="right"/>
    </w:pPr>
  </w:style>
  <w:style w:type="paragraph" w:customStyle="1" w:styleId="TH">
    <w:name w:val="TH"/>
    <w:basedOn w:val="Normal"/>
    <w:rsid w:val="009532F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532F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532F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532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2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2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532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532FA"/>
  </w:style>
  <w:style w:type="paragraph" w:customStyle="1" w:styleId="ZH">
    <w:name w:val="ZH"/>
    <w:rsid w:val="009532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532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532F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532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2FA"/>
    <w:pPr>
      <w:framePr w:wrap="notBeside" w:y="16161"/>
    </w:pPr>
  </w:style>
  <w:style w:type="paragraph" w:customStyle="1" w:styleId="FP">
    <w:name w:val="FP"/>
    <w:basedOn w:val="Normal"/>
    <w:rsid w:val="009532F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532F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532FA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6016A4"/>
    <w:rPr>
      <w:rFonts w:ascii="Arial" w:hAnsi="Arial"/>
      <w:lang w:val="en-GB" w:eastAsia="zh-CN"/>
    </w:rPr>
  </w:style>
  <w:style w:type="paragraph" w:customStyle="1" w:styleId="PL">
    <w:name w:val="PL"/>
    <w:link w:val="PLChar"/>
    <w:qFormat/>
    <w:rsid w:val="0069286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92867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205A7"/>
    <w:pPr>
      <w:overflowPunct/>
      <w:autoSpaceDE/>
      <w:autoSpaceDN/>
      <w:adjustRightInd/>
      <w:spacing w:after="0"/>
      <w:ind w:leftChars="400" w:left="840" w:hanging="72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B205A7"/>
    <w:rPr>
      <w:rFonts w:ascii="Times" w:eastAsia="Batang" w:hAnsi="Times"/>
      <w:szCs w:val="24"/>
      <w:lang w:val="en-GB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090BA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9B566-14CB-4966-AB6C-A9E1A95F7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136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91</cp:revision>
  <cp:lastPrinted>2008-01-31T07:09:00Z</cp:lastPrinted>
  <dcterms:created xsi:type="dcterms:W3CDTF">2018-04-06T13:45:00Z</dcterms:created>
  <dcterms:modified xsi:type="dcterms:W3CDTF">2018-05-11T19:55:00Z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